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df79244bbe7e4637"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16133</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VIKTORA KOVAČIĆA </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1.837.259,05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1.965.482,46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1.856.418,77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2.072.745,21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19.159,72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107.262,75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559,8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20.078,88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43.681,84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20.078,88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43.681,84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217,6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39.238,60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150.944,59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384,7</w:t>
            </w:r>
          </w:p>
        </w:tc>
      </w:tr>
    </w:tbl>
    <w:p>
      <w:pPr>
        <w:spacing w:before="0" w:after="0"/>
      </w:pPr>
    </w:p>
    <w:p>
      <w:r>
        <w:t xml:space="preserve">Manjak prihoda i primitaka nastao je uslijed ukidanja skupine 193 te činjenice da je priznato trinaest rashoda za plaće. Također, nisu primljena sredstva za podmirenje besplatne školske kuhinje za mjesec prosinac, niti su podmireni troškovi za prosinac koji se odnose na materijalno-financijske rashode i rashode za nabavu nefinancijske imovine nastale u prosincu.</w:t>
      </w:r>
    </w:p>
    <w:p>
      <w:r>
        <w:t xml:space="preserve">Iskazani rezultat ostvaren je prema sljedećim izvorima financiranja:</w:t>
      </w:r>
    </w:p>
    <w:p>
      <w:r>
        <w:t xml:space="preserve">IF Vlastiti prihodi (3.1.1.) – višak prihoda i primitaka iznosi 461,63 €</w:t>
      </w:r>
      <w:r>
        <w:br/>
      </w:r>
      <w:r>
        <w:t xml:space="preserve">IF Posebne namjene (4.3.1.) – višak prihoda i primitaka iznosi 5.646,32 €</w:t>
      </w:r>
      <w:r>
        <w:br/>
      </w:r>
      <w:r>
        <w:t xml:space="preserve">IF Ministarstvo (5.2.1.) – manjak prihoda i primitaka iznosi -143.207,52 €</w:t>
      </w:r>
      <w:r>
        <w:br/>
      </w:r>
      <w:r>
        <w:t xml:space="preserve">IF Ministarstvo – prijenos EU (5.7.1.) – manjak prihoda i primitaka iznosi -1.241,35 €</w:t>
      </w:r>
      <w:r>
        <w:br/>
      </w:r>
      <w:r>
        <w:t xml:space="preserve">IF Donacije (6.2.1.) – manjak prihoda i primitaka iznosi -1.733,26 €</w:t>
      </w:r>
      <w:r>
        <w:br/>
      </w:r>
      <w:r>
        <w:t xml:space="preserve">IF Opći prihodi i primici (1.1.) – manjak prihoda i primitaka iznosi -148,60 €</w:t>
      </w:r>
      <w:r>
        <w:br/>
      </w:r>
      <w:r>
        <w:t xml:space="preserve">IF Decentralizacija (1.3.) – manjak prihoda i primitaka iznosi -10.701,96 €</w:t>
      </w:r>
      <w:r>
        <w:br/>
      </w:r>
      <w:r>
        <w:t xml:space="preserve">IF Ministarstvo – prijenos EU (5.7.) – manjak prihoda i primitaka iznosi -19,85 €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32.100,52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9683,7</w:t>
            </w:r>
          </w:p>
        </w:tc>
      </w:tr>
    </w:tbl>
    <w:p>
      <w:pPr>
        <w:spacing w:before="0" w:after="0"/>
      </w:pPr>
    </w:p>
    <w:p>
      <w:r>
        <w:t xml:space="preserve">Povećanje tekućih pomoći temeljem prijenosa EU sredstava odnosi se na završnu isplatu Erasmus+ za 2023. g. Influencajmo zeleno! u iznosu od 4.217,61 eura,  korekciju viška prihoda Erasmus+ Influencajmo zeleno! u iznosu od 2.868,25  zbog promjene metodologije priznavanja EU prihoda i rashoda, isplatu sredstava Erasmus +(TCA) u iznosu od 264,66 eura i sredstva za projektnu tehničku dokumentaciju u sklopu projekta Rekonstrukcija dogradnje zgrade Osnovne škole Viktora Kovačića u iznosu od 24.750,00 eura.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(šifre 6614+6615)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6.147,38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4.658,50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75,8</w:t>
            </w:r>
          </w:p>
        </w:tc>
      </w:tr>
    </w:tbl>
    <w:p>
      <w:pPr>
        <w:spacing w:before="0" w:after="0"/>
      </w:pPr>
    </w:p>
    <w:p>
      <w:r>
        <w:t xml:space="preserve">Došlo je do smanjenja prihoda od prodaje proizvoda i robe te pruženih usluga u odnosu na prethodnu godinu, zbog manjeg broja korisnika dvorane i činjenice da se dvorana ne iznajmljuje vikendom.</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9.334,71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6.488,19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69,5</w:t>
            </w:r>
          </w:p>
        </w:tc>
      </w:tr>
    </w:tbl>
    <w:p>
      <w:pPr>
        <w:spacing w:before="0" w:after="0"/>
      </w:pPr>
    </w:p>
    <w:p>
      <w:r>
        <w:t xml:space="preserve">U tekućem izvještajnom razdoblju primljene su donacije za računalo, lektiru, nabavu namještaja i opremanje prostora škole.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111.991,77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118.254,29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105,6</w:t>
            </w:r>
          </w:p>
        </w:tc>
      </w:tr>
    </w:tbl>
    <w:p>
      <w:pPr>
        <w:spacing w:before="0" w:after="0"/>
      </w:pPr>
    </w:p>
    <w:p>
      <w:r>
        <w:t xml:space="preserve">Prihodi iz nadležnog proračuna za financiranje rashoda poslovanja povećani su zbog rasta troškova decentralizacije te povećanja vrijednosti sata rada pomoćnika u nastavi do kraja školske godine.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6.537,50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11.576,23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177,1</w:t>
            </w:r>
          </w:p>
        </w:tc>
      </w:tr>
    </w:tbl>
    <w:p>
      <w:pPr>
        <w:spacing w:before="0" w:after="0"/>
      </w:pPr>
    </w:p>
    <w:p>
      <w:r>
        <w:t xml:space="preserve">Prihodi iz nadležnog proračuna za financiranje rashoda za nabavu nefinancijske imovine u tekućem razdoblju odnose se na sredstva ostvarena u okviru projekta „Rekonstrukcija i dogradnja zgrade Osnovne škole Viktora Kovačića“. Navedena sredstva namijenjena su za priključenje građevine na elektroenergetsku mrežu i povećanje priključne snage u iznosu od 11.198,75 eura.</w:t>
      </w:r>
    </w:p>
    <w:p>
      <w:r>
        <w:t xml:space="preserve">Preostala sredstva u iznosu od 377,48 eura ostvarena su u okviru dječjeg participativnog proračuna, a utrošena su za nabavu namještaja za učionicu produženog boravka.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1.246.378,56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1.430.231,37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114,8</w:t>
            </w:r>
          </w:p>
        </w:tc>
      </w:tr>
    </w:tbl>
    <w:p>
      <w:pPr>
        <w:spacing w:before="0" w:after="0"/>
      </w:pPr>
    </w:p>
    <w:p>
      <w:r>
        <w:t xml:space="preserve">Rashodi povećani u odnosu na isto razdoblje protekle godine slijedom izmjena Pravilnika o proračunskom računovodstvu i knjiženja obračuna plaće za prosinac, što je u prethodnoj godini bilo predmet kontinuiranih rashoda.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27.183,85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37.003,03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136,1</w:t>
            </w:r>
          </w:p>
        </w:tc>
      </w:tr>
    </w:tbl>
    <w:p>
      <w:pPr>
        <w:spacing w:before="0" w:after="0"/>
      </w:pPr>
    </w:p>
    <w:p>
      <w:r>
        <w:t xml:space="preserve">Plaće za prekovremeni rad povećane su u odnosu na isto razdoblje prošle godine zbog velikog broja bolovanja i s time u svezi potrebe za zamjene.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posebne uvjete rada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12.479,03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14.766,21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118,3</w:t>
            </w:r>
          </w:p>
        </w:tc>
      </w:tr>
    </w:tbl>
    <w:p>
      <w:pPr>
        <w:spacing w:before="0" w:after="0"/>
      </w:pPr>
    </w:p>
    <w:p>
      <w:r>
        <w:t xml:space="preserve">U tekućem izvještajnom razdoblju povećani su rashodi plaće za posebne uvjete rada zbog većeg broja učenika kojima je određena nastava po posebnom programu.</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204.802,38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236.945,01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115,7</w:t>
            </w:r>
          </w:p>
        </w:tc>
      </w:tr>
    </w:tbl>
    <w:p>
      <w:pPr>
        <w:spacing w:before="0" w:after="0"/>
      </w:pPr>
    </w:p>
    <w:p>
      <w:r>
        <w:t xml:space="preserve">Slijedom povećanja plaća i naknada povećani su i rashodi za doprinose zdravstva.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9.435,79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7.410,90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78,5</w:t>
            </w:r>
          </w:p>
        </w:tc>
      </w:tr>
    </w:tbl>
    <w:p>
      <w:pPr>
        <w:spacing w:before="0" w:after="0"/>
      </w:pPr>
    </w:p>
    <w:p>
      <w:r>
        <w:t xml:space="preserve">Rashodi za službena putovanja smanjeni su jer se zaposlenicima isplaćuje naknada prijevoza za službeni put u zemlji do visine cijene javnog prijevoza, osim u slučajevima kada prevoze djecu, prevoze materijal za školu ili kada više zaposlenika putuje jednim automobilom na službeni put, kada se naknada isplaćuje u iznosu od 0,50 eura po kilometru.</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18.667,36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6.982,46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37,4</w:t>
            </w:r>
          </w:p>
        </w:tc>
      </w:tr>
    </w:tbl>
    <w:p>
      <w:pPr>
        <w:spacing w:before="0" w:after="0"/>
      </w:pPr>
    </w:p>
    <w:p>
      <w:r>
        <w:t xml:space="preserve">Rashodi za stručno usavršavanje zaposlenika smanjeni su u odnosu na prethodno razdoblje jer je u prethodnoj godini određeni broj zaposlenika sudjelovao u stručnom usavršavanju u okviru projekta Erasmus+.</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troškova zaposlenima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112,9</w:t>
            </w:r>
          </w:p>
        </w:tc>
      </w:tr>
    </w:tbl>
    <w:p>
      <w:pPr>
        <w:spacing w:before="0" w:after="0"/>
      </w:pPr>
    </w:p>
    <w:p>
      <w:r>
        <w:t xml:space="preserve">U tekućem razdoblju ostvaren je veći broj lokalnih vožnji u odnosu na prethodno razdoblje, što je utjecalo na povećanje povezanih rashoda.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15.725,98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19.462,98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123,8</w:t>
            </w:r>
          </w:p>
        </w:tc>
      </w:tr>
    </w:tbl>
    <w:p>
      <w:pPr>
        <w:spacing w:before="0" w:after="0"/>
      </w:pPr>
    </w:p>
    <w:p>
      <w:r>
        <w:t xml:space="preserve">Rashodi za uredski materijal i ostale materijalne rashode povećani su u skladu s realnim potrebama te zbog rasta cijena dobavljača. Dodatno su povećani radi nabave materijala za popunjavanje svih ormarića prve pomoći te nabave originalnih tonera, budući da zamjenski toneri lošije kvalitete uzrokuju oštećenja pisača..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76.066,47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83.155,94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109,3</w:t>
            </w:r>
          </w:p>
        </w:tc>
      </w:tr>
    </w:tbl>
    <w:p>
      <w:pPr>
        <w:spacing w:before="0" w:after="0"/>
      </w:pPr>
    </w:p>
    <w:p>
      <w:r>
        <w:t xml:space="preserve">Rashodi za materijal i sirovine povećani su zbog povećane potrošnje namirnica u školskoj kuhinji, kao posljedica organizacije produženog boravka.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9.399,91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12.542,31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133,4</w:t>
            </w:r>
          </w:p>
        </w:tc>
      </w:tr>
    </w:tbl>
    <w:p>
      <w:pPr>
        <w:spacing w:before="0" w:after="0"/>
      </w:pPr>
    </w:p>
    <w:p>
      <w:r>
        <w:t xml:space="preserve">U tekućem izvještajnom razdoblju rashodi za komunalne usluge veći su zbog povećanja cijena usluga.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Troškovi sudskih postupaka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Troškovi sudskog postupka nastali su dostavom rješenja kojim je utvrđeno da je 1. protustranka Osnovna škola Viktora Kovačića, u obvezi solidarno nadoknaditi trošak.  Vrsta predmeta: uređenje međe. </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1.946,92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2.361,06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121,3</w:t>
            </w:r>
          </w:p>
        </w:tc>
      </w:tr>
    </w:tbl>
    <w:p>
      <w:pPr>
        <w:spacing w:before="0" w:after="0"/>
      </w:pPr>
    </w:p>
    <w:p>
      <w:r>
        <w:t xml:space="preserve">Ostali nespomenuti rashodi povećani su zbog nabave raznolikih potrepština financiranih iz sredstava dječjeg participativnog proračuna te zbog rashoda za izradu aranžmana, snimanje i produkciju pjesme za festival „Djeca pjevaju 2025.“.</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6.537,50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35.948,75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549,9</w:t>
            </w:r>
          </w:p>
        </w:tc>
      </w:tr>
    </w:tbl>
    <w:p>
      <w:pPr>
        <w:spacing w:before="0" w:after="0"/>
      </w:pPr>
    </w:p>
    <w:p>
      <w:r>
        <w:t xml:space="preserve">Poslovni objekti u tekućem razdoblju odnose se na priključenje građevine na elektroenergetsku mrežu, povećanje priključne snage te izradu projektno-tehničke dokumentacije u okviru projekta „Rekonstrukcija i dogradnja zgrade Osnovne škole Viktora Kovačića“.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9222-9221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 preneseni (šifre '9221x,9222x MP' - '9221x,9222x VP' + 92223 - 92213)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9222-9221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Višak prihoda i primitaka raspoloživ u sljedećem razdoblju, ostvaren u izvještajnom razdoblju prethodne godine, iznosio je 2.161,64 eura.</w:t>
      </w:r>
    </w:p>
    <w:p>
      <w:r>
        <w:t xml:space="preserve">Međutim, zbog promjene metodologije priznavanja EU prihoda i rashoda, škola je, temeljem okružnice Ministarstva financija, izvršila korekciju rezultata utvrđenog na kraju 2024. godine na izvoru financiranja 5.7.1., na projektu Erasmus+ „Influencajmo zeleno!“, u iznosu od 2.868,25 eura, te je navedeni iznos prenesen na obvezu za primljeni predujam.</w:t>
      </w:r>
    </w:p>
    <w:p>
      <w:r>
        <w:t xml:space="preserve">Navedenim knjiženjem promijenjen je rezultat poslovanja te je iskazan manjak prihoda i primitaka – preneseni, u iznosu od 676,61 eura.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151.621,20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prihoda i primitaka raspoloživ u sljedećem razdoblju odnosi se na razdoblje 01.01. – 31.12.2025., u kojem je ostvaren manjak prihoda i primitaka u iznosu od 150.944,59 € (ŠIFRA Y005). Nakon pribrajanja prenesenog manjka iz prethodnih godina (ŠIFRA 9222–9221) u iznosu od 676,61 €, ukupni manjak prihoda i primitaka raspoloživ u sljedećem razdoblju iznosi 151.621,20 €, i to prema sljedećim izvorima financiranja:</w:t>
      </w:r>
    </w:p>
    <w:p>
      <w:pPr>
        <w:pStyle w:val="ListParagraph"/>
        <w:numPr>
          <w:ilvl w:val="0"/>
          <w:numId w:val="2"/>
        </w:numPr>
      </w:pPr>
      <w:r>
        <w:t xml:space="preserve">IF Vlastiti prihodi (3.1.1.) – višak prihoda i primitaka iznosi 1.147,44 €</w:t>
      </w:r>
    </w:p>
    <w:p>
      <w:pPr>
        <w:pStyle w:val="ListParagraph"/>
        <w:numPr>
          <w:ilvl w:val="0"/>
          <w:numId w:val="2"/>
        </w:numPr>
      </w:pPr>
      <w:r>
        <w:t xml:space="preserve">IF Posebne namjene (4.3.1.) – višak prihoda i primitaka iznosi 6.737,36 €</w:t>
      </w:r>
    </w:p>
    <w:p>
      <w:pPr>
        <w:pStyle w:val="ListParagraph"/>
        <w:numPr>
          <w:ilvl w:val="0"/>
          <w:numId w:val="2"/>
        </w:numPr>
      </w:pPr>
      <w:r>
        <w:t xml:space="preserve">IF Ministarstvo (5.2.1.) – manjak prihoda i primitaka iznosi -149.366,75 €, od čega:</w:t>
      </w:r>
    </w:p>
    <w:p>
      <w:pPr>
        <w:ind w:left="600"/>
      </w:pPr>
      <w:r>
        <w:t xml:space="preserve">-144.824,78 € manjak prihoda i primitaka za plaće i druga materijalna prava zaposlenika za prosinac 2025. godine</w:t>
      </w:r>
      <w:r>
        <w:br/>
      </w:r>
      <w:r>
        <w:t xml:space="preserve">-6.844,18 € manjak za iskazane rashode poslovanja besplatne prehrane učenika za prosinac 2025. godine</w:t>
      </w:r>
      <w:r>
        <w:br/>
      </w:r>
      <w:r>
        <w:t xml:space="preserve">-90,79 € manjak za knjigu Herojski Vukovar </w:t>
      </w:r>
      <w:r>
        <w:br/>
      </w:r>
      <w:r>
        <w:t xml:space="preserve">-14,00 € manjak za izvanučioničku nastavu za učenika iz Ukrajine</w:t>
      </w:r>
      <w:r>
        <w:br/>
      </w:r>
      <w:r>
        <w:t xml:space="preserve">Sveukupni iznos od -151.773,75 € predstavlja metodološki manjak, dok je istodobno iskazan višak prihoda i primitaka u iznosu od 1.000,00 € za preventivne programe te 1.407,00 € za PDS.</w:t>
      </w:r>
    </w:p>
    <w:p>
      <w:pPr>
        <w:pStyle w:val="ListParagraph"/>
        <w:numPr>
          <w:ilvl w:val="0"/>
          <w:numId w:val="3"/>
        </w:numPr>
      </w:pPr>
      <w:r>
        <w:t xml:space="preserve">IF Ministarstvo – prijenos EU (5.7.1.) – višak prihoda i primitaka iznosi 844,34 €</w:t>
      </w:r>
    </w:p>
    <w:p>
      <w:pPr>
        <w:pStyle w:val="ListParagraph"/>
        <w:numPr>
          <w:ilvl w:val="0"/>
          <w:numId w:val="3"/>
        </w:numPr>
      </w:pPr>
      <w:r>
        <w:t xml:space="preserve">IF Opći prihodi i primici (1.1.) – manjak prihoda i primitaka iznosi -148,60 €, što predstavlja metodološki manjak</w:t>
      </w:r>
    </w:p>
    <w:p>
      <w:pPr>
        <w:pStyle w:val="ListParagraph"/>
        <w:numPr>
          <w:ilvl w:val="0"/>
          <w:numId w:val="3"/>
        </w:numPr>
      </w:pPr>
      <w:r>
        <w:t xml:space="preserve">IF Decentralizacija (1.3.) – manjak prihoda i primitaka iznosi -10.701,96 €, što predstavlja metodološki manjak</w:t>
      </w:r>
    </w:p>
    <w:p>
      <w:pPr>
        <w:pStyle w:val="ListParagraph"/>
        <w:numPr>
          <w:ilvl w:val="0"/>
          <w:numId w:val="3"/>
        </w:numPr>
      </w:pPr>
      <w:r>
        <w:t xml:space="preserve">IF Ministarstvo – prijenos EU (5.7.) – manjak prihoda i primitaka iznosi -133,03 €, što predstavlja metodološki manjak</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u pripremi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7.249,57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43.198,32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595,9</w:t>
            </w:r>
          </w:p>
        </w:tc>
      </w:tr>
    </w:tbl>
    <w:p>
      <w:pPr>
        <w:spacing w:before="0" w:after="0"/>
      </w:pPr>
    </w:p>
    <w:p>
      <w:r>
        <w:t xml:space="preserve">Iznos građevinskih objekata u pripremi povećan je u odnosu na stanje na dan 01.01.2025. godine zbog nastalih troškova za izradu projektno-tehničke dokumentacije te za priključenje građevine na elektroenergetsku mrežu i povećanje priključne snage, a sredstva su dobivena u okviru projekta „Rekonstrukcija i dogradnja zgrade Osnovne škole Viktora Kovačića“.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blagajni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Novac u blagajni na dan 31.12.2025. iznosi 0,00 €, što je manje u odnosu na stanje na dan 01.01.2025., jer ustanova više ne posluje preko blagajne.</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2.572,83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7.499,67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291,5</w:t>
            </w:r>
          </w:p>
        </w:tc>
      </w:tr>
    </w:tbl>
    <w:p>
      <w:pPr>
        <w:spacing w:before="0" w:after="0"/>
      </w:pPr>
    </w:p>
    <w:p>
      <w:r>
        <w:t xml:space="preserve">Ostala potraživanja na dan 31.12.2025. godine veća su u odnosu na stanje na dan 01.01.2025. godine, a odnose se na potraživanja po osnovi bolovanja na teret HZZO-a za listopad, studeni i prosinac 2025. godine.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iz inozemstva i od subjekata unutar općeg proračuna (šifre 1631 do 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152.133,75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Potraživanja za pomoći proračunskim korisnicima iz proračuna koji im nije nadležan, na dan 31. prosinca 2025. godine, odnose se na:</w:t>
      </w:r>
    </w:p>
    <w:p>
      <w:r>
        <w:t xml:space="preserve"> -plaće i ostala materijalna prava zaposlenika za prosinac 2025. godine u iznosu od 144.824,78 eura</w:t>
      </w:r>
      <w:r>
        <w:br/>
      </w:r>
      <w:r>
        <w:t xml:space="preserve"> -nabavu knjige Herojski Vukovar u iznosu od 90,79 eura</w:t>
      </w:r>
      <w:r>
        <w:br/>
      </w:r>
      <w:r>
        <w:t xml:space="preserve"> -terensku nastavu učenika iz Ukrajine u iznosu od 14,00 eura</w:t>
      </w:r>
      <w:r>
        <w:br/>
      </w:r>
      <w:r>
        <w:t xml:space="preserve"> -produženi boravak za učenika iz Ukrajine u iznosu od 360,00 eura</w:t>
      </w:r>
      <w:r>
        <w:br/>
      </w:r>
      <w:r>
        <w:t xml:space="preserve"> -sredstva za besplatnu školsku prehranu za prosinac 2025. godine u iznosu od 6.844,18 eur</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6.103,90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4.102,50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67,2</w:t>
            </w:r>
          </w:p>
        </w:tc>
      </w:tr>
    </w:tbl>
    <w:p>
      <w:pPr>
        <w:spacing w:before="0" w:after="0"/>
      </w:pPr>
    </w:p>
    <w:p>
      <w:r>
        <w:t xml:space="preserve">Potraživanja za upravne i administrativne pristojbe, pristojbe po posebnim propisima i naknade odnose se na potraživanja od učenika za produženi boravak. Stanje na dan 31.12.2025. manje je u odnosu na stanje na dan 01.01.2025., a razlika se najvećim dijelom odnosi na nedospjela potraživanja.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864,76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77,0</w:t>
            </w:r>
          </w:p>
        </w:tc>
      </w:tr>
    </w:tbl>
    <w:p>
      <w:pPr>
        <w:spacing w:before="0" w:after="0"/>
      </w:pPr>
    </w:p>
    <w:p>
      <w:r>
        <w:t xml:space="preserve">Potraživanja za prihode od prodaje proizvoda i robe te pruženih usluga i za povrat po protestiranim jamstvima odnose se na potraživanja od iznajmljivanja školskog prostora i od prodaje otpadnog papira, najvećim dijelom za račune izdane za prosinac 2025. godine. Stanje na dan 31.12.2025. manje je u odnosu na stanje na dan 01.01.2025..</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Kontinuirani 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126.555,27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Kontinuirani rashodi budućih razdoblja – skupina 193 na dan 01.01.2025. odnose se na plaću i naknade za prosinac 2024. godine. Stanje na dan 31.12.2025. iznosi 0, zbog ukidanja skupine 193.</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1.076,26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6.343,25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589,4</w:t>
            </w:r>
          </w:p>
        </w:tc>
      </w:tr>
    </w:tbl>
    <w:p>
      <w:pPr>
        <w:spacing w:before="0" w:after="0"/>
      </w:pPr>
    </w:p>
    <w:p>
      <w:r>
        <w:t xml:space="preserve">Stanje na dan 31.12.2025. veće je u odnosu na stanje na dan 01.01.2025. i odnosi se na obveze proračunskih korisnika za povrat u proračun po osnovi bolovanja (bolovanje nije na teret HZZO-a). Radi se o bolovanjima koja su provedena preko HZZO-a za listopad i studeni 2025. godine.</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2.191,64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-151.621,20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-6918,2</w:t>
            </w:r>
          </w:p>
        </w:tc>
      </w:tr>
    </w:tbl>
    <w:p>
      <w:pPr>
        <w:spacing w:before="0" w:after="0"/>
      </w:pPr>
    </w:p>
    <w:p>
      <w:r>
        <w:t xml:space="preserve">Ostvaren je manjak na računu 922. Stanje na dan 31.12.2025. manje je u odnosu na stanje na dan 01.01.2025. Najvećim dijelom to je posljedica ukidanja skupine 193 te priznanja trinaest rashoda za plaće i ostala materijalna prava zaposlenika. Nadalje, nisu primljena sredstva za podmirenje besplatne školske prehrane za prosinac, sredstva za materijalno-financijske rashode i rashode za nabavu nefinancijske imovine za prosinac, kao ni sredstva za terensku nastavu i produženi boravak za učenika iz Ukrajine te za knjigu Herojski Vukovar. Također, preneseni viškovi iz prethodnih godina su utrošeni.ovar.</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Obračunate pomoći iz inozemstva i od subjekata unutar općeg proračuna (šifre 9631 do 9638)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152.133,75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Obračunate pomoći iz inozemstva i od subjekata unutar općeg proračuna, na dan 31. prosinca 2025. godine, odnose se na:</w:t>
      </w:r>
    </w:p>
    <w:p>
      <w:r>
        <w:t xml:space="preserve"> -plaće i ostala materijalna prava zaposlenika za prosinac 2025. godine u iznosu od 144.824,78 eura</w:t>
      </w:r>
      <w:r>
        <w:br/>
      </w:r>
      <w:r>
        <w:t xml:space="preserve"> -nabavu knjige Herojski Vukovar u iznosu od 90,79 eura</w:t>
      </w:r>
      <w:r>
        <w:br/>
      </w:r>
      <w:r>
        <w:t xml:space="preserve"> -terensku nastavu učenika iz Ukrajine u iznosu od 14,00 eura</w:t>
      </w:r>
      <w:r>
        <w:br/>
      </w:r>
      <w:r>
        <w:t xml:space="preserve"> -produženi boravak za učenika iz Ukrajine u iznosu od 360,00 eura</w:t>
      </w:r>
      <w:r>
        <w:br/>
      </w:r>
      <w:r>
        <w:t xml:space="preserve"> -sredstva za besplatnu školsku prehranu za prosinac 2025. godine u iznosu od 6.844,18 eur</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33.878,17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33.214,56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98,0</w:t>
            </w:r>
          </w:p>
        </w:tc>
      </w:tr>
    </w:tbl>
    <w:p>
      <w:pPr>
        <w:spacing w:before="0" w:after="0"/>
      </w:pPr>
    </w:p>
    <w:p>
      <w:r>
        <w:t xml:space="preserve">Izvanbilančna evidencija – aktiva na dan 31.12.2025. manja je u odnosu na stanje na dan 01.01.2025. za iznos ispravka vrijednosti tuđe imovine dobivene na korištenje. Sadašnja vrijednost tuđe imovine dobivene na korištenje, nakon izvršenog ispravka vrijednosti, iznosi 0,00 eura.</w:t>
      </w:r>
    </w:p>
    <w:p>
      <w:r>
        <w:t xml:space="preserve">Školska ustanova nema iskazane podatke u izvanbilančnoj evidenciji o ugovornim odnosima koji bi uz ispunjenje određenih uvjeta mogli postati obveza ili imovina pa se obvezni propisani podaci u tablici ne prikazuju.</w:t>
      </w:r>
    </w:p>
    <w:p>
      <w:r>
        <w:t xml:space="preserve">Popis sudskih sporova u tijeku:</w:t>
      </w:r>
    </w:p>
    <w:tbl>
      <w:tblPr>
        <w:tblStyle w:val="TableGrid"/>
        <w:tblW w:w="5000" w:type="pct"/>
      </w:tblPr>
      <w:tblGrid>
        <w:gridCol w:w="661"/>
        <w:gridCol w:w="619"/>
        <w:gridCol w:w="749"/>
        <w:gridCol w:w="2049"/>
        <w:gridCol w:w="1176"/>
        <w:gridCol w:w="1592"/>
        <w:gridCol w:w="1390"/>
        <w:gridCol w:w="695"/>
        <w:gridCol w:w="695"/>
      </w:tblGrid>
      <w:tr>
        <w:trPr>
          <w:trHeight w:val="542" w:hRule="atLeast"/>
        </w:trPr>
        <w:tc>
          <w:tcPr>
            <w:tcW w:w="343" w:type="pct"/>
            <w:vAlign w:val="center"/>
          </w:tcPr>
          <w:p>
            <w:r>
              <w:t xml:space="preserve">Red.broj</w:t>
            </w:r>
          </w:p>
        </w:tc>
        <w:tc>
          <w:tcPr>
            <w:tcW w:w="321" w:type="pct"/>
            <w:vAlign w:val="center"/>
          </w:tcPr>
          <w:p>
            <w:r>
              <w:t xml:space="preserve">Tuženik</w:t>
            </w:r>
          </w:p>
        </w:tc>
        <w:tc>
          <w:tcPr>
            <w:tcW w:w="389" w:type="pct"/>
            <w:vAlign w:val="center"/>
          </w:tcPr>
          <w:p>
            <w:r>
              <w:t xml:space="preserve">Tužitelj</w:t>
            </w:r>
          </w:p>
        </w:tc>
        <w:tc>
          <w:tcPr>
            <w:tcW w:w="1064" w:type="pct"/>
            <w:vAlign w:val="center"/>
          </w:tcPr>
          <w:p>
            <w:r>
              <w:t xml:space="preserve">Sažetak opisa prirode spora</w:t>
            </w:r>
          </w:p>
        </w:tc>
        <w:tc>
          <w:tcPr>
            <w:tcW w:w="611" w:type="pct"/>
            <w:vAlign w:val="center"/>
          </w:tcPr>
          <w:p>
            <w:r>
              <w:t xml:space="preserve">Iznos glavnice</w:t>
            </w:r>
          </w:p>
        </w:tc>
        <w:tc>
          <w:tcPr>
            <w:tcW w:w="826" w:type="pct"/>
            <w:vAlign w:val="center"/>
          </w:tcPr>
          <w:p>
            <w:r>
              <w:t xml:space="preserve">Procjena financ.učinka</w:t>
            </w:r>
          </w:p>
        </w:tc>
        <w:tc>
          <w:tcPr>
            <w:tcW w:w="721" w:type="pct"/>
            <w:vAlign w:val="center"/>
          </w:tcPr>
          <w:p>
            <w:r>
              <w:t xml:space="preserve">Proc.vrijeme odljeva/priljeva sred.</w:t>
            </w:r>
          </w:p>
        </w:tc>
        <w:tc>
          <w:tcPr>
            <w:tcW w:w="360" w:type="pct"/>
            <w:vAlign w:val="center"/>
          </w:tcPr>
          <w:p>
            <w:r>
              <w:t xml:space="preserve">Početak sudskog spora</w:t>
            </w:r>
          </w:p>
        </w:tc>
        <w:tc>
          <w:tcPr>
            <w:tcW w:w="361" w:type="pct"/>
            <w:vAlign w:val="center"/>
          </w:tcPr>
          <w:p>
            <w:r>
              <w:t xml:space="preserve">Napomena</w:t>
            </w:r>
          </w:p>
        </w:tc>
      </w:tr>
      <w:tr>
        <w:trPr>
          <w:trHeight w:val="542" w:hRule="atLeast"/>
        </w:trPr>
        <w:tc>
          <w:tcPr>
            <w:tcW w:w="343" w:type="pct"/>
            <w:vAlign w:val="center"/>
          </w:tcPr>
          <w:p>
            <w:r>
              <w:t xml:space="preserve">1.</w:t>
            </w:r>
          </w:p>
        </w:tc>
        <w:tc>
          <w:tcPr>
            <w:tcW w:w="321" w:type="pct"/>
            <w:vAlign w:val="center"/>
          </w:tcPr>
          <w:p>
            <w:r>
              <w:t xml:space="preserve">Škola</w:t>
            </w:r>
          </w:p>
        </w:tc>
        <w:tc>
          <w:tcPr>
            <w:tcW w:w="389" w:type="pct"/>
            <w:vAlign w:val="center"/>
          </w:tcPr>
          <w:p>
            <w:r>
              <w:t xml:space="preserve">Fizička osoba AA</w:t>
            </w:r>
          </w:p>
        </w:tc>
        <w:tc>
          <w:tcPr>
            <w:tcW w:w="1064" w:type="pct"/>
            <w:vAlign w:val="center"/>
          </w:tcPr>
          <w:p>
            <w:r>
              <w:t xml:space="preserve">Radno-diskriminacija</w:t>
            </w:r>
          </w:p>
        </w:tc>
        <w:tc>
          <w:tcPr>
            <w:tcW w:w="611" w:type="pct"/>
            <w:vAlign w:val="center"/>
          </w:tcPr>
          <w:p>
            <w:r>
              <w:t xml:space="preserve">6.636,14</w:t>
            </w:r>
            <w:r>
              <w:br/>
            </w:r>
          </w:p>
        </w:tc>
        <w:tc>
          <w:tcPr>
            <w:tcW w:w="826" w:type="pct"/>
            <w:vAlign w:val="center"/>
          </w:tcPr>
          <w:p>
            <w:r>
              <w:t xml:space="preserve">   ?</w:t>
            </w:r>
          </w:p>
        </w:tc>
        <w:tc>
          <w:tcPr>
            <w:tcW w:w="721" w:type="pct"/>
            <w:vAlign w:val="center"/>
          </w:tcPr>
          <w:p>
            <w:r>
              <w:t xml:space="preserve">  ?</w:t>
            </w:r>
          </w:p>
        </w:tc>
        <w:tc>
          <w:tcPr>
            <w:tcW w:w="360" w:type="pct"/>
            <w:vAlign w:val="center"/>
          </w:tcPr>
          <w:p>
            <w:r>
              <w:t xml:space="preserve">02.11.22.</w:t>
            </w:r>
          </w:p>
        </w:tc>
        <w:tc>
          <w:tcPr>
            <w:tcW w:w="361" w:type="pct"/>
            <w:vAlign w:val="center"/>
          </w:tcPr>
          <w:p>
            <w:r>
              <w:t xml:space="preserve"> </w:t>
            </w:r>
          </w:p>
        </w:tc>
      </w:tr>
      <w:tr>
        <w:trPr>
          <w:trHeight w:val="542" w:hRule="atLeast"/>
        </w:trPr>
        <w:tc>
          <w:tcPr>
            <w:tcW w:w="343" w:type="pct"/>
            <w:vAlign w:val="center"/>
          </w:tcPr>
          <w:p>
            <w:r>
              <w:t xml:space="preserve">2.</w:t>
            </w:r>
          </w:p>
        </w:tc>
        <w:tc>
          <w:tcPr>
            <w:tcW w:w="321" w:type="pct"/>
            <w:vAlign w:val="center"/>
          </w:tcPr>
          <w:p>
            <w:r>
              <w:t xml:space="preserve">Škola</w:t>
            </w:r>
          </w:p>
        </w:tc>
        <w:tc>
          <w:tcPr>
            <w:tcW w:w="389" w:type="pct"/>
            <w:vAlign w:val="center"/>
          </w:tcPr>
          <w:p>
            <w:r>
              <w:t xml:space="preserve">Fizička osoba AA</w:t>
            </w:r>
          </w:p>
        </w:tc>
        <w:tc>
          <w:tcPr>
            <w:tcW w:w="1064" w:type="pct"/>
            <w:vAlign w:val="center"/>
          </w:tcPr>
          <w:p>
            <w:r>
              <w:t xml:space="preserve">Radno-diskriminacija</w:t>
            </w:r>
          </w:p>
        </w:tc>
        <w:tc>
          <w:tcPr>
            <w:tcW w:w="611" w:type="pct"/>
            <w:vAlign w:val="center"/>
          </w:tcPr>
          <w:p>
            <w:r>
              <w:t xml:space="preserve">6.636,14</w:t>
            </w:r>
            <w:r>
              <w:br/>
            </w:r>
          </w:p>
        </w:tc>
        <w:tc>
          <w:tcPr>
            <w:tcW w:w="826" w:type="pct"/>
            <w:vAlign w:val="center"/>
          </w:tcPr>
          <w:p>
            <w:r>
              <w:t xml:space="preserve">  ?</w:t>
            </w:r>
          </w:p>
        </w:tc>
        <w:tc>
          <w:tcPr>
            <w:tcW w:w="721" w:type="pct"/>
            <w:vAlign w:val="center"/>
          </w:tcPr>
          <w:p>
            <w:r>
              <w:t xml:space="preserve">  ?</w:t>
            </w:r>
          </w:p>
        </w:tc>
        <w:tc>
          <w:tcPr>
            <w:tcW w:w="360" w:type="pct"/>
            <w:vAlign w:val="center"/>
          </w:tcPr>
          <w:p>
            <w:r>
              <w:t xml:space="preserve">15.03.23.</w:t>
            </w:r>
          </w:p>
        </w:tc>
        <w:tc>
          <w:tcPr>
            <w:tcW w:w="361" w:type="pct"/>
            <w:vAlign w:val="center"/>
          </w:tcPr>
          <w:p>
            <w:r>
              <w:t xml:space="preserve"> </w:t>
            </w:r>
          </w:p>
        </w:tc>
      </w:tr>
      <w:tr>
        <w:trPr>
          <w:trHeight w:val="542" w:hRule="atLeast"/>
        </w:trPr>
        <w:tc>
          <w:tcPr>
            <w:tcW w:w="343" w:type="pct"/>
            <w:vAlign w:val="center"/>
          </w:tcPr>
          <w:p>
            <w:r>
              <w:t xml:space="preserve">3.</w:t>
            </w:r>
          </w:p>
        </w:tc>
        <w:tc>
          <w:tcPr>
            <w:tcW w:w="321" w:type="pct"/>
            <w:vAlign w:val="center"/>
          </w:tcPr>
          <w:p>
            <w:r>
              <w:t xml:space="preserve">Škola</w:t>
            </w:r>
          </w:p>
        </w:tc>
        <w:tc>
          <w:tcPr>
            <w:tcW w:w="389" w:type="pct"/>
            <w:vAlign w:val="center"/>
          </w:tcPr>
          <w:p>
            <w:r>
              <w:t xml:space="preserve">Fizička osoba AA</w:t>
            </w:r>
          </w:p>
        </w:tc>
        <w:tc>
          <w:tcPr>
            <w:tcW w:w="1064" w:type="pct"/>
            <w:vAlign w:val="center"/>
          </w:tcPr>
          <w:p>
            <w:r>
              <w:t xml:space="preserve">Radno-diskriminacija</w:t>
            </w:r>
          </w:p>
        </w:tc>
        <w:tc>
          <w:tcPr>
            <w:tcW w:w="611" w:type="pct"/>
            <w:vAlign w:val="center"/>
          </w:tcPr>
          <w:p>
            <w:r>
              <w:t xml:space="preserve">6.636,14</w:t>
            </w:r>
            <w:r>
              <w:br/>
            </w:r>
          </w:p>
        </w:tc>
        <w:tc>
          <w:tcPr>
            <w:tcW w:w="826" w:type="pct"/>
            <w:vAlign w:val="center"/>
          </w:tcPr>
          <w:p>
            <w:r>
              <w:t xml:space="preserve">  ?</w:t>
            </w:r>
          </w:p>
        </w:tc>
        <w:tc>
          <w:tcPr>
            <w:tcW w:w="721" w:type="pct"/>
            <w:vAlign w:val="center"/>
          </w:tcPr>
          <w:p>
            <w:r>
              <w:t xml:space="preserve">  ?</w:t>
            </w:r>
          </w:p>
        </w:tc>
        <w:tc>
          <w:tcPr>
            <w:tcW w:w="360" w:type="pct"/>
            <w:vAlign w:val="center"/>
          </w:tcPr>
          <w:p>
            <w:r>
              <w:t xml:space="preserve">19.04.23.</w:t>
            </w:r>
          </w:p>
        </w:tc>
        <w:tc>
          <w:tcPr>
            <w:tcW w:w="361" w:type="pct"/>
            <w:vAlign w:val="center"/>
          </w:tcPr>
          <w:p>
            <w:r>
              <w:t xml:space="preserve"> </w:t>
            </w:r>
          </w:p>
        </w:tc>
      </w:tr>
      <w:tr>
        <w:trPr>
          <w:trHeight w:val="542" w:hRule="atLeast"/>
        </w:trPr>
        <w:tc>
          <w:tcPr>
            <w:tcW w:w="343" w:type="pct"/>
            <w:vAlign w:val="center"/>
          </w:tcPr>
          <w:p>
            <w:r>
              <w:t xml:space="preserve">4.</w:t>
            </w:r>
          </w:p>
        </w:tc>
        <w:tc>
          <w:tcPr>
            <w:tcW w:w="321" w:type="pct"/>
            <w:vAlign w:val="center"/>
          </w:tcPr>
          <w:p>
            <w:r>
              <w:t xml:space="preserve">Škola</w:t>
            </w:r>
          </w:p>
        </w:tc>
        <w:tc>
          <w:tcPr>
            <w:tcW w:w="389" w:type="pct"/>
            <w:vAlign w:val="center"/>
          </w:tcPr>
          <w:p>
            <w:r>
              <w:t xml:space="preserve">Fizička osoba AA</w:t>
            </w:r>
          </w:p>
        </w:tc>
        <w:tc>
          <w:tcPr>
            <w:tcW w:w="1064" w:type="pct"/>
            <w:vAlign w:val="center"/>
          </w:tcPr>
          <w:p>
            <w:r>
              <w:t xml:space="preserve">Radno-diskriminacija</w:t>
            </w:r>
          </w:p>
        </w:tc>
        <w:tc>
          <w:tcPr>
            <w:tcW w:w="611" w:type="pct"/>
            <w:vAlign w:val="center"/>
          </w:tcPr>
          <w:p>
            <w:r>
              <w:t xml:space="preserve">6.636,14</w:t>
            </w:r>
            <w:r>
              <w:br/>
            </w:r>
          </w:p>
        </w:tc>
        <w:tc>
          <w:tcPr>
            <w:tcW w:w="826" w:type="pct"/>
            <w:vAlign w:val="center"/>
          </w:tcPr>
          <w:p>
            <w:r>
              <w:t xml:space="preserve">  ?</w:t>
            </w:r>
          </w:p>
        </w:tc>
        <w:tc>
          <w:tcPr>
            <w:tcW w:w="721" w:type="pct"/>
            <w:vAlign w:val="center"/>
          </w:tcPr>
          <w:p>
            <w:r>
              <w:t xml:space="preserve">  ?</w:t>
            </w:r>
          </w:p>
        </w:tc>
        <w:tc>
          <w:tcPr>
            <w:tcW w:w="360" w:type="pct"/>
            <w:vAlign w:val="center"/>
          </w:tcPr>
          <w:p>
            <w:r>
              <w:t xml:space="preserve">27.10.23.</w:t>
            </w:r>
          </w:p>
        </w:tc>
        <w:tc>
          <w:tcPr>
            <w:tcW w:w="361" w:type="pct"/>
            <w:vAlign w:val="center"/>
          </w:tcPr>
          <w:p>
            <w:r>
              <w:t xml:space="preserve"> </w:t>
            </w:r>
          </w:p>
        </w:tc>
      </w:tr>
      <w:tr>
        <w:trPr>
          <w:trHeight w:val="542" w:hRule="atLeast"/>
        </w:trPr>
        <w:tc>
          <w:tcPr>
            <w:tcW w:w="343" w:type="pct"/>
            <w:vAlign w:val="center"/>
          </w:tcPr>
          <w:p>
            <w:r>
              <w:t xml:space="preserve">5.</w:t>
            </w:r>
          </w:p>
        </w:tc>
        <w:tc>
          <w:tcPr>
            <w:tcW w:w="321" w:type="pct"/>
            <w:vAlign w:val="center"/>
          </w:tcPr>
          <w:p>
            <w:r>
              <w:t xml:space="preserve">Škola</w:t>
            </w:r>
          </w:p>
        </w:tc>
        <w:tc>
          <w:tcPr>
            <w:tcW w:w="389" w:type="pct"/>
            <w:vAlign w:val="center"/>
          </w:tcPr>
          <w:p>
            <w:r>
              <w:t xml:space="preserve">Fizička osoba BB</w:t>
            </w:r>
          </w:p>
        </w:tc>
        <w:tc>
          <w:tcPr>
            <w:tcW w:w="1064" w:type="pct"/>
            <w:vAlign w:val="center"/>
          </w:tcPr>
          <w:p>
            <w:r>
              <w:t xml:space="preserve">Naknada štete</w:t>
            </w:r>
          </w:p>
        </w:tc>
        <w:tc>
          <w:tcPr>
            <w:tcW w:w="611" w:type="pct"/>
            <w:vAlign w:val="center"/>
          </w:tcPr>
          <w:p>
            <w:r>
              <w:t xml:space="preserve">5.270,00</w:t>
            </w:r>
          </w:p>
        </w:tc>
        <w:tc>
          <w:tcPr>
            <w:tcW w:w="826" w:type="pct"/>
            <w:vAlign w:val="center"/>
          </w:tcPr>
          <w:p>
            <w:r>
              <w:t xml:space="preserve">  ?</w:t>
            </w:r>
          </w:p>
        </w:tc>
        <w:tc>
          <w:tcPr>
            <w:tcW w:w="721" w:type="pct"/>
            <w:vAlign w:val="center"/>
          </w:tcPr>
          <w:p>
            <w:r>
              <w:t xml:space="preserve">  ?</w:t>
            </w:r>
          </w:p>
        </w:tc>
        <w:tc>
          <w:tcPr>
            <w:tcW w:w="360" w:type="pct"/>
            <w:vAlign w:val="center"/>
          </w:tcPr>
          <w:p>
            <w:r>
              <w:t xml:space="preserve">21.11.23.</w:t>
            </w:r>
          </w:p>
        </w:tc>
        <w:tc>
          <w:tcPr>
            <w:tcW w:w="361" w:type="pct"/>
            <w:vAlign w:val="center"/>
          </w:tcPr>
          <w:p>
            <w:r>
              <w:t xml:space="preserve"> </w:t>
            </w:r>
          </w:p>
        </w:tc>
      </w:tr>
      <w:tr>
        <w:trPr>
          <w:trHeight w:val="542" w:hRule="atLeast"/>
        </w:trPr>
        <w:tc>
          <w:tcPr>
            <w:tcW w:w="343" w:type="pct"/>
            <w:vAlign w:val="center"/>
          </w:tcPr>
          <w:p>
            <w:r>
              <w:t xml:space="preserve">6.</w:t>
            </w:r>
          </w:p>
        </w:tc>
        <w:tc>
          <w:tcPr>
            <w:tcW w:w="321" w:type="pct"/>
            <w:vAlign w:val="center"/>
          </w:tcPr>
          <w:p>
            <w:r>
              <w:t xml:space="preserve">Škola</w:t>
            </w:r>
          </w:p>
        </w:tc>
        <w:tc>
          <w:tcPr>
            <w:tcW w:w="389" w:type="pct"/>
            <w:vAlign w:val="center"/>
          </w:tcPr>
          <w:p>
            <w:r>
              <w:t xml:space="preserve">Fizička osoba CC</w:t>
            </w:r>
          </w:p>
        </w:tc>
        <w:tc>
          <w:tcPr>
            <w:tcW w:w="1064" w:type="pct"/>
            <w:vAlign w:val="center"/>
          </w:tcPr>
          <w:p>
            <w:r>
              <w:t xml:space="preserve">Stvarno-osobne služnosti radi utvrđivanja prava služnosti</w:t>
            </w:r>
          </w:p>
        </w:tc>
        <w:tc>
          <w:tcPr>
            <w:tcW w:w="611" w:type="pct"/>
            <w:vAlign w:val="center"/>
          </w:tcPr>
          <w:p>
            <w:r>
              <w:t xml:space="preserve">1.400,00</w:t>
            </w:r>
          </w:p>
        </w:tc>
        <w:tc>
          <w:tcPr>
            <w:tcW w:w="826" w:type="pct"/>
            <w:vAlign w:val="center"/>
          </w:tcPr>
          <w:p>
            <w:r>
              <w:t xml:space="preserve">  ?</w:t>
            </w:r>
          </w:p>
        </w:tc>
        <w:tc>
          <w:tcPr>
            <w:tcW w:w="721" w:type="pct"/>
            <w:vAlign w:val="center"/>
          </w:tcPr>
          <w:p>
            <w:r>
              <w:t xml:space="preserve">  ?</w:t>
            </w:r>
          </w:p>
        </w:tc>
        <w:tc>
          <w:tcPr>
            <w:tcW w:w="360" w:type="pct"/>
            <w:vAlign w:val="center"/>
          </w:tcPr>
          <w:p>
            <w:r>
              <w:t xml:space="preserve">18.07.24.</w:t>
            </w:r>
          </w:p>
        </w:tc>
        <w:tc>
          <w:tcPr>
            <w:tcW w:w="361" w:type="pct"/>
            <w:vAlign w:val="center"/>
          </w:tcPr>
          <w:p>
            <w:r>
              <w:t xml:space="preserve"> </w:t>
            </w:r>
          </w:p>
        </w:tc>
      </w:tr>
    </w:tbl>
    <w:p>
      <w:r>
        <w:t xml:space="preserve"> </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713,96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55,0</w:t>
            </w:r>
          </w:p>
        </w:tc>
      </w:tr>
    </w:tbl>
    <w:p>
      <w:pPr>
        <w:spacing w:before="0" w:after="0"/>
      </w:pPr>
    </w:p>
    <w:p>
      <w:r>
        <w:t xml:space="preserve">Potraživanja za prihode poslovanja – dospjela odnose se na:</w:t>
      </w:r>
    </w:p>
    <w:p>
      <w:pPr>
        <w:pStyle w:val="ListParagraph"/>
        <w:numPr>
          <w:ilvl w:val="0"/>
          <w:numId w:val="2"/>
        </w:numPr>
      </w:pPr>
      <w:r>
        <w:t xml:space="preserve">potraživanje za produženi boravak u iznosu od 360,00 </w:t>
      </w:r>
    </w:p>
    <w:p>
      <w:pPr>
        <w:pStyle w:val="ListParagraph"/>
        <w:numPr>
          <w:ilvl w:val="0"/>
          <w:numId w:val="2"/>
        </w:numPr>
      </w:pPr>
      <w:r>
        <w:t xml:space="preserve">potraživanje za otpadni papir u iznosu od 32,50 €</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 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 Obveze za rashode poslovanja – dospjele odnose se na:</w:t>
      </w:r>
    </w:p>
    <w:p>
      <w:r>
        <w:t xml:space="preserve">-račun od PC automata u iznosu od 26,42 €</w:t>
      </w:r>
      <w:r>
        <w:br/>
      </w:r>
      <w:r>
        <w:t xml:space="preserve">-račun od Potočki Travel – putničke agencije u iznosu od 14,00 €</w:t>
      </w:r>
      <w:r>
        <w:br/>
      </w:r>
      <w:r>
        <w:t xml:space="preserve">Radi se o računima koje nismo pravovremeno zaprimili u sustav e-Porezna, a rok dospjeća bio je kratak. Računi su podmireni odmah početkom 2026. godine.</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Tuđa imovina dobivena na korištenje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Stanje tuđe imovine dobivene na korištenje na dan 31.12.2025. iznosi 0,00 eura te je u cijelosti smanjeno u odnosu na stanje na dan 01.01.2025. zbog provedenog ispravka vrijednosti.</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Osnovno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1.800.431,18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2.033.271,11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112,9</w:t>
            </w:r>
          </w:p>
        </w:tc>
      </w:tr>
    </w:tbl>
    <w:p>
      <w:pPr>
        <w:spacing w:before="0" w:after="0"/>
      </w:pPr>
    </w:p>
    <w:p>
      <w:r>
        <w:t xml:space="preserve">Osnovno obrazovanje (0912) prikazuje ukupne rashode poslovanja umanjene za troškove prehrane djece.</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76.066,47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83.155,94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109,3</w:t>
            </w:r>
          </w:p>
        </w:tc>
      </w:tr>
    </w:tbl>
    <w:p>
      <w:pPr>
        <w:spacing w:before="0" w:after="0"/>
      </w:pPr>
    </w:p>
    <w:p>
      <w:r>
        <w:t xml:space="preserve">Dodatne usluge u obrazovanju (096) prikazuju troškove prehrane djece.</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52.444,90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Proizvedena dugotrajna imovina – iznos smanjenja odnosi se na iznos ispravka vrijednosti na dan 31.12.2025. te na jednokratne otpise imovine u 2025. godini, koji se u 2025. knjiže preko računa 915.</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radi se o obvezama za rashode poslovanja  koje su dospjele, a odnose se na:                                - račun od PC automata u iznosu od 26,42 €</w:t>
      </w:r>
      <w:r>
        <w:br/>
      </w:r>
      <w:r>
        <w:t xml:space="preserve">-račun od Potočki Travel – putničke agencije u iznosu od 14,00 €</w:t>
      </w:r>
      <w:r>
        <w:br/>
      </w:r>
      <w:r>
        <w:t xml:space="preserve">Radi se o računima koje nismo pravovremeno zaprimili u sustav e-Porezna, a rok dospjeća bio je kratak. Računi su podmireni početkom 2026. godine.</w:t>
      </w:r>
    </w:p>
    <w:p/>
    <w:p>
      <w:pPr>
        <w:jc w:val="center"/>
        <w:pStyle w:val="Normal"/>
        <w:spacing w:line="240" w:lineRule="auto"/>
        <w:keepNext/>
      </w:pPr>
      <w:r>
        <w:rPr>
          <w:sz w:val="28"/>
          <w:rFonts w:ascii="Times New Roman" w:hAnsi="Times New Roman"/>
        </w:rPr>
        <w:t xml:space="preserve">Bilješka 40.</w:t>
      </w:r>
    </w:p>
    <w:p>
      <w:pPr>
        <w:jc w:val="both"/>
        <w:pStyle w:val="Normal"/>
        <w:spacing w:line="240" w:lineRule="auto"/>
      </w:pPr>
      <w:r>
        <w:rPr>
          <w:b/>
          <w:sz w:val="24"/>
          <w:rFonts w:ascii="Times New Roman" w:hAnsi="Times New Roman"/>
        </w:rPr>
        <w:t xml:space="preserve">EU izvještaj</w:t>
      </w:r>
    </w:p>
    <w:p>
      <w:r>
        <w:t xml:space="preserve">510 – Programi Unije</w:t>
      </w:r>
      <w:r>
        <w:br/>
      </w:r>
      <w:r>
        <w:t xml:space="preserve">Izvještaj se odnosi na završnu isplatu sredstava iz programa Erasmus+ za 2023. godinu za projekt Influencajmo zeleno u iznosu od 4.217,61 eura, korekciju viška prihoda Erasmus+ za projekt Influencajmo zeleno u iznosu od 2.868,25 eura, te isplatu sredstava Erasmus+ (TCA) u iznosu od 264,66 eura.</w:t>
      </w:r>
    </w:p>
    <w:p>
      <w:r>
        <w:t xml:space="preserve">561 – Europski socijalni fond plus</w:t>
      </w:r>
      <w:r>
        <w:br/>
      </w:r>
      <w:r>
        <w:t xml:space="preserve">Izvještaj se odnosi na sredstva dobivena za projekt Baltazar. Sredstva su utrošena za plaće i ostala materijalna prava pomoćnika u nastavi u ukupnom iznosu od 18.666,99 eura.</w:t>
      </w:r>
    </w:p>
    <w:p>
      <w:r>
        <w:t xml:space="preserve">581 – Mehanizam za oporavak i otpornost – bespovratna sredstva</w:t>
      </w:r>
      <w:r>
        <w:br/>
      </w:r>
      <w:r>
        <w:t xml:space="preserve">Izvještaj se odnosi na sredstva za izradu projektno-tehničke dokumentacije u sklopu projekta Rekonstrukcija i dogradnja zgrade OŠ Viktora Kovačića u iznosu od 24.750,00 eura.</w:t>
      </w:r>
    </w:p>
    <w:p>
      <w:r>
        <w:t xml:space="preserve">Nacionalno sufinanciranje</w:t>
      </w:r>
      <w:r>
        <w:br/>
      </w:r>
      <w:r>
        <w:t xml:space="preserve">Iznos od 11.198,75 eura odnosi se na sredstva dobivena u okviru projekta Rekonstrukcija i dogradnja OŠ Viktora Kovačića, a namijenjena su za priključenje građevine na elektroenergetsku mrežu i povećanje priključne snage, financiran iz izvora 1.1. Opći prihodi i primici.</w:t>
      </w:r>
      <w:r>
        <w:br/>
      </w:r>
      <w:r>
        <w:t xml:space="preserve">Preostali iznos od 5.929,33 eura odnosi se na sredstva u okviru projekta Baltazar, financirana iz izvora 1.1. Opći prihodi i primici u iznosu od 2.635,14 eura te iz izvora 5.2. Ministarstvo u iznosu od 3.294,19 eura.</w:t>
      </w:r>
    </w:p>
    <w:p/>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 w:numId="3">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9bd392ab144078" /><Relationship Type="http://schemas.openxmlformats.org/officeDocument/2006/relationships/numbering" Target="/word/numbering.xml" Id="Rc3797cfd0058425d" /></Relationships>
</file>